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7AB" w:rsidRDefault="00A52DD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C557AB" w:rsidRDefault="00A52D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C557AB" w:rsidRDefault="00A52DD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32BF3" w:rsidRPr="00132BF3">
        <w:rPr>
          <w:rFonts w:ascii="Corbel" w:hAnsi="Corbel"/>
          <w:b/>
          <w:smallCaps/>
          <w:sz w:val="24"/>
          <w:szCs w:val="24"/>
        </w:rPr>
        <w:t>2021-2024</w:t>
      </w:r>
    </w:p>
    <w:p w:rsidR="00C557AB" w:rsidRDefault="00A52D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32BF3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C557AB" w:rsidRDefault="00132BF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="00A52DDE">
        <w:rPr>
          <w:rFonts w:ascii="Corbel" w:hAnsi="Corbel"/>
          <w:sz w:val="20"/>
          <w:szCs w:val="20"/>
        </w:rPr>
        <w:tab/>
      </w:r>
      <w:r w:rsidR="00A52DDE">
        <w:rPr>
          <w:rFonts w:ascii="Corbel" w:hAnsi="Corbel"/>
          <w:sz w:val="20"/>
          <w:szCs w:val="20"/>
        </w:rPr>
        <w:tab/>
      </w:r>
      <w:r w:rsidR="00A52DDE">
        <w:rPr>
          <w:rFonts w:ascii="Corbel" w:hAnsi="Corbel"/>
          <w:sz w:val="20"/>
          <w:szCs w:val="20"/>
        </w:rPr>
        <w:tab/>
      </w:r>
      <w:r w:rsidR="00A52DDE">
        <w:rPr>
          <w:rFonts w:ascii="Corbel" w:hAnsi="Corbel"/>
          <w:sz w:val="20"/>
          <w:szCs w:val="20"/>
        </w:rPr>
        <w:tab/>
      </w:r>
      <w:r w:rsidR="00A52DDE">
        <w:rPr>
          <w:rFonts w:ascii="Corbel" w:hAnsi="Corbel"/>
          <w:b/>
          <w:bCs/>
          <w:sz w:val="20"/>
          <w:szCs w:val="20"/>
        </w:rPr>
        <w:t xml:space="preserve">Rok akademicki </w:t>
      </w:r>
      <w:r w:rsidRPr="00132BF3">
        <w:rPr>
          <w:rFonts w:ascii="Corbel" w:hAnsi="Corbel"/>
          <w:b/>
          <w:bCs/>
          <w:sz w:val="20"/>
          <w:szCs w:val="20"/>
        </w:rPr>
        <w:t>2023/2024</w:t>
      </w:r>
    </w:p>
    <w:p w:rsidR="00C557AB" w:rsidRDefault="00C557AB">
      <w:pPr>
        <w:spacing w:after="0" w:line="240" w:lineRule="auto"/>
        <w:rPr>
          <w:rFonts w:ascii="Corbel" w:hAnsi="Corbel"/>
          <w:sz w:val="24"/>
          <w:szCs w:val="24"/>
        </w:rPr>
      </w:pPr>
    </w:p>
    <w:p w:rsidR="00C557AB" w:rsidRDefault="00A52DD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p w:rsidR="00C557AB" w:rsidRDefault="00C557AB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2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997"/>
        <w:gridCol w:w="5246"/>
      </w:tblGrid>
      <w:tr w:rsidR="00C557AB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Przemiany demograficzne województwa podkarpackiego</w:t>
            </w:r>
          </w:p>
        </w:tc>
      </w:tr>
      <w:tr w:rsidR="00C557AB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S1S[6]F_04</w:t>
            </w:r>
          </w:p>
        </w:tc>
      </w:tr>
      <w:tr w:rsidR="00C557AB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   </w:t>
            </w:r>
          </w:p>
        </w:tc>
      </w:tr>
      <w:tr w:rsidR="00C557AB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F028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028E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557AB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C557AB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C557AB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557AB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557AB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3, semestr VI</w:t>
            </w:r>
          </w:p>
        </w:tc>
      </w:tr>
      <w:tr w:rsidR="00C557AB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C557AB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C557AB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C557AB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:rsidR="00C557AB" w:rsidRDefault="00A52DDE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C557AB" w:rsidRDefault="00A52DD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Formy zajęć dydaktycznych, wymiar godzin i punktów ECTS </w:t>
      </w:r>
    </w:p>
    <w:p w:rsidR="00C557AB" w:rsidRDefault="00C557A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C557AB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557AB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C557AB" w:rsidRDefault="00C557A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557AB" w:rsidRDefault="00C557A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557AB" w:rsidRDefault="00A52D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C557AB" w:rsidRDefault="00A52D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i/>
          <w:szCs w:val="24"/>
        </w:rPr>
        <w:t xml:space="preserve"> </w:t>
      </w:r>
    </w:p>
    <w:p w:rsidR="00C557AB" w:rsidRDefault="00A52D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i/>
          <w:szCs w:val="24"/>
        </w:rPr>
        <w:t xml:space="preserve"> 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C557AB" w:rsidRDefault="00A52D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557AB" w:rsidRDefault="00C557A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557AB" w:rsidRDefault="00A52D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 xml:space="preserve">(egzamin, </w:t>
      </w:r>
      <w:r w:rsidRPr="008C2A0E">
        <w:rPr>
          <w:rFonts w:ascii="Corbel" w:hAnsi="Corbel"/>
          <w:bCs/>
          <w:smallCaps w:val="0"/>
          <w:szCs w:val="24"/>
        </w:rPr>
        <w:t>zaliczenie z oceną</w:t>
      </w:r>
      <w:r>
        <w:rPr>
          <w:rFonts w:ascii="Corbel" w:hAnsi="Corbel"/>
          <w:b w:val="0"/>
          <w:smallCaps w:val="0"/>
          <w:szCs w:val="24"/>
        </w:rPr>
        <w:t>, zaliczenie bez oceny)</w:t>
      </w:r>
    </w:p>
    <w:p w:rsidR="00C557AB" w:rsidRDefault="00C557A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557AB" w:rsidRDefault="00A52DD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C557AB" w:rsidRDefault="00C557A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557A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przedmiotu: „Demografia”, „Statystyka”, „Zmiany współczesnego społeczeństwa polskiego”.</w:t>
            </w:r>
          </w:p>
        </w:tc>
      </w:tr>
    </w:tbl>
    <w:p w:rsidR="00C557AB" w:rsidRDefault="00C557AB">
      <w:pPr>
        <w:pStyle w:val="Punktygwne"/>
        <w:spacing w:before="0" w:after="0"/>
        <w:rPr>
          <w:rFonts w:ascii="Corbel" w:hAnsi="Corbel"/>
          <w:szCs w:val="24"/>
        </w:rPr>
      </w:pPr>
    </w:p>
    <w:p w:rsidR="00C557AB" w:rsidRDefault="00A52DD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C557AB" w:rsidRDefault="00C557AB">
      <w:pPr>
        <w:pStyle w:val="Punktygwne"/>
        <w:spacing w:before="0" w:after="0"/>
        <w:rPr>
          <w:rFonts w:ascii="Corbel" w:hAnsi="Corbel"/>
          <w:szCs w:val="24"/>
        </w:rPr>
      </w:pPr>
    </w:p>
    <w:p w:rsidR="00C557AB" w:rsidRDefault="00A52DD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C557AB" w:rsidRDefault="00C557A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C557AB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źródłami pozyskiwania informacji demograficznych dot. województwa podkarpackiego oraz z zasadami korzystania z nich.</w:t>
            </w:r>
          </w:p>
        </w:tc>
      </w:tr>
      <w:tr w:rsidR="00C557AB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Doskonalenie umiejętności interpretacji danych demograficznych.</w:t>
            </w:r>
          </w:p>
        </w:tc>
      </w:tr>
    </w:tbl>
    <w:p w:rsidR="00C557AB" w:rsidRDefault="00C557A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557AB" w:rsidRDefault="00A52DD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C557AB" w:rsidRDefault="00C557A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C557AB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557AB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Rozumie, jak cechy zbiorowości i aktywność społeczna odzwierciedla się w danych statystycznych.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="00C557AB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zasady pozyskiwania i generowania danych demograficznych oraz rozumie możliwości, jakich dostarczają w wyjaśnianiu zjawisk społecznych.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C557AB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Pozyskuje dane statystyczne w celu wizualizacji i interpretacji procesów demograficznych.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C557AB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przyczyny i przebieg procesów demograficznych.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C557AB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Prognozuje przebieg procesów demograficznych na podstawie dostępnych danych.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C557AB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Wykazuje refleksyjność względem swojej wiedzy i umiejętności, krytycznie ocenia posiadane informacje oraz dąży do aktualizacji i doskonalenia swojej wiedzy.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KU_14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:rsidR="00C557AB" w:rsidRDefault="00C557A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557AB" w:rsidRDefault="00A52D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C557AB" w:rsidRDefault="00A52D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C557AB" w:rsidRDefault="00C557A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557A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57A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Historia i cechy specyficzne województwa podkarpackiego.</w:t>
            </w:r>
          </w:p>
        </w:tc>
      </w:tr>
      <w:tr w:rsidR="00C557A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Poszukiwanie danych demograficznych do badań: Bank Danych Lokalnych GUS, EUROSTAT, roczniki statystyczne. Dane Wojewódzkiego Urzędu Pracy. Metodyka zbierania danych.</w:t>
            </w:r>
          </w:p>
        </w:tc>
      </w:tr>
      <w:tr w:rsidR="00C557A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 ludności województwa podkarpackiego.</w:t>
            </w:r>
          </w:p>
        </w:tc>
      </w:tr>
      <w:tr w:rsidR="00C557A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Gospodarstwa domowe, Urodzenia i zgony, małżeństwa, rozwody i separacje.</w:t>
            </w:r>
          </w:p>
        </w:tc>
      </w:tr>
      <w:tr w:rsidR="00C557A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Migracje i prognozy demograficzne.</w:t>
            </w:r>
          </w:p>
        </w:tc>
      </w:tr>
      <w:tr w:rsidR="00C557A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pracy.</w:t>
            </w:r>
          </w:p>
        </w:tc>
      </w:tr>
      <w:tr w:rsidR="00C557A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Wynagrodzenia i świadczenia społeczne.</w:t>
            </w:r>
          </w:p>
        </w:tc>
      </w:tr>
      <w:tr w:rsidR="00C557A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Szkolnictwo, wychowanie przedszkolne i kultura.</w:t>
            </w:r>
          </w:p>
        </w:tc>
      </w:tr>
    </w:tbl>
    <w:p w:rsidR="00C557AB" w:rsidRDefault="00C557A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557AB" w:rsidRDefault="00C557A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C557AB" w:rsidRDefault="00A52DD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br w:type="column"/>
      </w:r>
      <w:r>
        <w:rPr>
          <w:rFonts w:ascii="Corbel" w:hAnsi="Corbel"/>
          <w:smallCaps w:val="0"/>
          <w:szCs w:val="24"/>
        </w:rPr>
        <w:lastRenderedPageBreak/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C557AB" w:rsidRDefault="00C557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557AB" w:rsidRDefault="00A52DD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dyskusją; Metoda projektów: przygotowanie i analiza opracowań demograficznych wybranych jednostek terytorialnych województwa podkarpackiego.</w:t>
      </w:r>
    </w:p>
    <w:p w:rsidR="00C557AB" w:rsidRDefault="00C557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557AB" w:rsidRDefault="00A52D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C557AB" w:rsidRDefault="00C557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557AB" w:rsidRDefault="00A52D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C557AB" w:rsidRDefault="00C557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1"/>
        <w:gridCol w:w="5437"/>
        <w:gridCol w:w="2122"/>
      </w:tblGrid>
      <w:tr w:rsidR="00C557AB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557AB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557AB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557AB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557AB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557AB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557AB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C557AB" w:rsidRDefault="00C557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57AB" w:rsidRDefault="00A52D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C557AB" w:rsidRDefault="00C557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557A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w trakcie zajęć: 20% oceny końcowej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opracowań 5 raportów dotyczących przemian demograficznych wybranej jednostki terytorialnej: 80% oceny końcowej</w:t>
            </w:r>
          </w:p>
          <w:p w:rsidR="00C557AB" w:rsidRDefault="00C557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C557AB" w:rsidRDefault="00C557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57AB" w:rsidRDefault="00A52DD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557AB" w:rsidRDefault="00C557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C557AB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7AB" w:rsidRDefault="00A52DD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557AB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557AB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557AB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C557AB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Akapitzlist"/>
              <w:widowControl w:val="0"/>
              <w:tabs>
                <w:tab w:val="left" w:pos="877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557AB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C557AB" w:rsidRDefault="00A52DD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557AB" w:rsidRDefault="00C557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57AB" w:rsidRDefault="00A52D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C557AB" w:rsidRDefault="00C557A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618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8618"/>
      </w:tblGrid>
      <w:tr w:rsidR="00C557AB">
        <w:trPr>
          <w:trHeight w:val="397"/>
        </w:trPr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8C2A0E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C557AB" w:rsidRDefault="00C557AB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Cierpiał-Wolan (red.):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Potencjał społeczno-gospodarczy Euroregionu Karpackiego w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>latach 2014-2016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Rzeszów: Urząd Statystyczny, 2018. (i wcześniejsze).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C. Domański, K. Pruska: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Metody statystyki małych obszarów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Łódź: Wydawnictwo UŁ, 2001.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Dykas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Przestrzenne zróżnicowanie lokalnych rynków pracy w województwie podkarpackim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Kraków: Wydawnictwo UJ, 2017.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I.E. Kotowska (red.):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Scenariusze polityki ludnościowej dla Polski. Badania eksperckie Delphi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Szkoła Główna Handlowa – Oficyna Wydawnicza, 2005.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Kurkiewicz (red.):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Procesy demograficzne i metody ich analizy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Kraków: Wydawnictwo UEK, 2010.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F. Stokowski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: Demografia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Polskie Towarzystwo Ekonomiczne, 2015.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Szara: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Uwarunkowania i możliwości aktywizacji kapitału kreatywnego jako determinanty rozwoju lokalnego na przykładzie gmin województwa podkarpackiego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Rzeszów: Wydawnictwo UR, 2017.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Okólski, 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Fihel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Demografia. Współczesne zjawiska i teorie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Scholar, 2012.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Raporty Urzędu Statystycznego w Rzeszowie i Wojewódzkiego Urzędu Pracy w Rzeszowie.</w:t>
            </w:r>
          </w:p>
        </w:tc>
      </w:tr>
      <w:tr w:rsidR="00C557AB">
        <w:trPr>
          <w:trHeight w:val="397"/>
        </w:trPr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8C2A0E">
              <w:rPr>
                <w:rFonts w:ascii="Corbel" w:hAnsi="Corbel"/>
                <w:bCs/>
                <w:smallCaps w:val="0"/>
                <w:szCs w:val="24"/>
              </w:rPr>
              <w:lastRenderedPageBreak/>
              <w:t>Literatura uzupełniająca:</w:t>
            </w:r>
          </w:p>
          <w:p w:rsidR="00C557AB" w:rsidRDefault="00C557AB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W. Broszkiewicz: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Kapitał kulturowy młodego pokolenia Polski współczesnej. Studium na przykładzie wybranych społeczności Podkarpacia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Rzeszów: Wydawnictwo UR, 2010.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Dziewoński, L. Kosiński: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Rozwój i rozmieszczenie ludności Polski w XX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PWN, 1967.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Kobylarczyk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D. Kuśnierz-Krupa: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Jakość środowiska mieszkaniowego a dziedzictwo kulturowe. NA przykładzie wybranych miast województwa podkarpackiego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Kraków: Wydawnictwo PK, 2018.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D. Kołodziejczyk (red.):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Ocena poziomu spójności demograficznej i społeczno-gospodarczej obszarów wiejskich w porównaniu z miastami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Instytut Ekonomiki Rolnictwa i Gospodarki Żywnościowej – Państwowy Instytut Badawczy, 2017.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Krupowicz: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Cykliczność procesu urodzeń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Wrocław: Wydawnictwo Uniwersytetu Ekonomicznego, 2012.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Kurek: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Typologia starzenia się ludności Polski w ujęciu przestrzennym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Kraków: Wydawnictwo Naukowe AP, 2008.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Prognozy demograficzne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GUS, 1980.</w:t>
            </w:r>
          </w:p>
          <w:p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R. Wielgos-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Struck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H. Kotarski (red.): Aktywni seniorzy. Obszary wdrażania polityki senioralnej w skali lokalnej. Rzeszów: Wydawnictwo UR, 2018.</w:t>
            </w:r>
          </w:p>
        </w:tc>
      </w:tr>
    </w:tbl>
    <w:p w:rsidR="00C557AB" w:rsidRDefault="00C557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557AB" w:rsidRDefault="00A52DD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C557AB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2FAE" w:rsidRDefault="00852FAE">
      <w:pPr>
        <w:spacing w:after="0" w:line="240" w:lineRule="auto"/>
      </w:pPr>
      <w:r>
        <w:separator/>
      </w:r>
    </w:p>
  </w:endnote>
  <w:endnote w:type="continuationSeparator" w:id="0">
    <w:p w:rsidR="00852FAE" w:rsidRDefault="00852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2FAE" w:rsidRDefault="00852FAE">
      <w:pPr>
        <w:rPr>
          <w:sz w:val="12"/>
        </w:rPr>
      </w:pPr>
      <w:r>
        <w:separator/>
      </w:r>
    </w:p>
  </w:footnote>
  <w:footnote w:type="continuationSeparator" w:id="0">
    <w:p w:rsidR="00852FAE" w:rsidRDefault="00852FAE">
      <w:pPr>
        <w:rPr>
          <w:sz w:val="12"/>
        </w:rPr>
      </w:pPr>
      <w:r>
        <w:continuationSeparator/>
      </w:r>
    </w:p>
  </w:footnote>
  <w:footnote w:id="1">
    <w:p w:rsidR="00C557AB" w:rsidRDefault="00A52DDE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53490"/>
    <w:multiLevelType w:val="multilevel"/>
    <w:tmpl w:val="62B8B23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503A7D19"/>
    <w:multiLevelType w:val="multilevel"/>
    <w:tmpl w:val="D64248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7AB"/>
    <w:rsid w:val="00132BF3"/>
    <w:rsid w:val="00633F27"/>
    <w:rsid w:val="00852FAE"/>
    <w:rsid w:val="008C2A0E"/>
    <w:rsid w:val="00A52DDE"/>
    <w:rsid w:val="00C557AB"/>
    <w:rsid w:val="00F02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E4C2A"/>
  <w15:docId w15:val="{4CD3150D-0E90-435D-B8EE-A0AAA493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03695-2086-44D9-BC52-6CC8404FA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1011</Words>
  <Characters>6071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10</cp:revision>
  <cp:lastPrinted>2019-02-06T12:12:00Z</cp:lastPrinted>
  <dcterms:created xsi:type="dcterms:W3CDTF">2019-07-04T12:03:00Z</dcterms:created>
  <dcterms:modified xsi:type="dcterms:W3CDTF">2021-07-05T10:30:00Z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